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FBD3E" w14:textId="77777777" w:rsidR="00662C17" w:rsidRDefault="00662C17" w:rsidP="00662C17"/>
    <w:p w14:paraId="18FBC0AF" w14:textId="77777777" w:rsidR="00662C17" w:rsidRDefault="00662C17" w:rsidP="00662C17">
      <w:r>
        <w:t xml:space="preserve">&lt;p&gt;However, because the Report needed to be placed before Parliament first, when many States formulated their respective Budgets for </w:t>
      </w:r>
      <w:proofErr w:type="gramStart"/>
      <w:r>
        <w:t>2015-16</w:t>
      </w:r>
      <w:proofErr w:type="gramEnd"/>
      <w:r>
        <w:t xml:space="preserve"> they didn’t factor in the recommendations of the 14th Finance Commission.  Constitutionally, the only organ responsible for fiscal devolution to States is the Finance Commission.  However, the mandate of the Finance Commission was diluted in the 1970s and the Plan versus non-Plan distinction came into existence.  Plan transfers were routed through the historical Planning Commission.  In addition, the Planning Commission designed templates for centrally sponsored schemes (CSS-s) and these increased in importance since the late-1960s.  Legitimately, State governments complained about rigid templates of CSS-s, for which, they also had to provide matching grants.  The 14thFinance Commission abolished the Plan versus non-Plan distinction and increases untied devolution from the divisible pool to States to 42</w:t>
      </w:r>
      <w:proofErr w:type="gramStart"/>
      <w:r>
        <w:t>%.&lt;</w:t>
      </w:r>
      <w:proofErr w:type="gramEnd"/>
      <w:r>
        <w:t>/p&gt;</w:t>
      </w:r>
    </w:p>
    <w:p w14:paraId="0D1BB85E" w14:textId="77777777" w:rsidR="00662C17" w:rsidRDefault="00662C17" w:rsidP="00662C17"/>
    <w:p w14:paraId="7B7CA9DD" w14:textId="77777777" w:rsidR="00662C17" w:rsidRDefault="00662C17" w:rsidP="00662C17">
      <w:r>
        <w:t xml:space="preserve">&lt;p&gt;There may still be additional Union government funding (even 100%) and CSS-s for schemes that possess national importance.  Who decides what these schemes are?  It would have been easy for PMO, North Block or </w:t>
      </w:r>
      <w:proofErr w:type="spellStart"/>
      <w:r>
        <w:t>Niti</w:t>
      </w:r>
      <w:proofErr w:type="spellEnd"/>
      <w:r>
        <w:t xml:space="preserve"> Aayog to decide their contours.  But that would have gone against the concept of federalism.  Therefore, sub-groups of Chief Ministers were set up by </w:t>
      </w:r>
      <w:proofErr w:type="spellStart"/>
      <w:r>
        <w:t>Niti’s</w:t>
      </w:r>
      <w:proofErr w:type="spellEnd"/>
      <w:r>
        <w:t xml:space="preserve"> Governing Council on CSS-s, the </w:t>
      </w:r>
      <w:proofErr w:type="spellStart"/>
      <w:r>
        <w:t>Swacch</w:t>
      </w:r>
      <w:proofErr w:type="spellEnd"/>
      <w:r>
        <w:t xml:space="preserve"> Bharat Mission and skill development.  Their reports have only become recently available.  In the interim, for 2015-16, devolution from the Union government couldn’t stop.  What has been done in 2015-16 is therefore a temporary measure, to be overtaken by the recommendations of the sub-groups.  That’s the reason 2015-16 was an year of uncertainty, triggered partly by the fact that the 14th Finance Commission, which recommended such a major institutional change, did not allow for a transitory </w:t>
      </w:r>
      <w:proofErr w:type="gramStart"/>
      <w:r>
        <w:t>mechanism.&lt;</w:t>
      </w:r>
      <w:proofErr w:type="gramEnd"/>
      <w:r>
        <w:t>/p&gt;</w:t>
      </w:r>
    </w:p>
    <w:p w14:paraId="788D7A91" w14:textId="77777777" w:rsidR="00662C17" w:rsidRDefault="00662C17" w:rsidP="00662C17"/>
    <w:p w14:paraId="66A41378" w14:textId="77777777" w:rsidR="00662C17" w:rsidRDefault="00662C17" w:rsidP="00662C17">
      <w:r>
        <w:t xml:space="preserve">&lt;p&gt;A large part of </w:t>
      </w:r>
      <w:proofErr w:type="spellStart"/>
      <w:r>
        <w:t>Niti’s</w:t>
      </w:r>
      <w:proofErr w:type="spellEnd"/>
      <w:r>
        <w:t xml:space="preserve"> mandate is the evaluation of public expenditure schemes, the examination of delivery and the linking of these schemes with tangible improvements in outcomes, difficult though this may be for social sectors, especially health.  One can’t very well do this until one knows what these schemes are, whether funded (partly or wholly) by Union government, or whether funded by schemes States devise out of untied funds.   That’s the reason I said </w:t>
      </w:r>
      <w:proofErr w:type="spellStart"/>
      <w:r>
        <w:t>Niti’s</w:t>
      </w:r>
      <w:proofErr w:type="spellEnd"/>
      <w:r>
        <w:t xml:space="preserve"> work will come into its own only from 2016-</w:t>
      </w:r>
      <w:proofErr w:type="gramStart"/>
      <w:r>
        <w:t>17.&lt;</w:t>
      </w:r>
      <w:proofErr w:type="gramEnd"/>
      <w:r>
        <w:t>/p&gt;</w:t>
      </w:r>
    </w:p>
    <w:p w14:paraId="3F8BDA1B" w14:textId="77777777" w:rsidR="00662C17" w:rsidRDefault="00662C17" w:rsidP="00662C17"/>
    <w:p w14:paraId="733B0CC8" w14:textId="77777777" w:rsidR="00662C17" w:rsidRDefault="00662C17" w:rsidP="00662C17">
      <w:r>
        <w:t xml:space="preserve">&lt;p&gt;This is also true of </w:t>
      </w:r>
      <w:proofErr w:type="spellStart"/>
      <w:r>
        <w:t>Niti’s</w:t>
      </w:r>
      <w:proofErr w:type="spellEnd"/>
      <w:r>
        <w:t xml:space="preserve"> function as a repository of best practices in States.  Several States have done interesting things in delivery, worthy of dissemination and replication.  From next year, </w:t>
      </w:r>
      <w:proofErr w:type="spellStart"/>
      <w:r>
        <w:t>Niti</w:t>
      </w:r>
      <w:proofErr w:type="spellEnd"/>
      <w:r>
        <w:t xml:space="preserve"> will take stock of these.  It will also take stock of data, which will give an idea of base-line indicators, </w:t>
      </w:r>
      <w:proofErr w:type="gramStart"/>
      <w:r>
        <w:t>on the basis of</w:t>
      </w:r>
      <w:proofErr w:type="gramEnd"/>
      <w:r>
        <w:t xml:space="preserve"> which, outcome improvements can be measured.  We have already chosen a set of around 50 indicators, clustered under heads like education (school), health, roads, water, electricity and mobile penetration.  We are building this district upwards, though as a terminal goal, there is an intention to take this down to blocks, if not villages.  The historical Planning Commission was also a source of data.  For instance, where else will you get data on social sectors in one place?  Now that we have SDGs, as successor to MDGs, which organ of government will gauge improvements in these?  That devolves on </w:t>
      </w:r>
      <w:proofErr w:type="spellStart"/>
      <w:r>
        <w:t>Niti</w:t>
      </w:r>
      <w:proofErr w:type="spellEnd"/>
      <w:r>
        <w:t xml:space="preserve">.  For some indicators, there are problems with quality of data.  In other instances, data are very </w:t>
      </w:r>
      <w:r>
        <w:lastRenderedPageBreak/>
        <w:t xml:space="preserve">difficult to get.  As an example, for roads, we have ready data for national highways and even PMGSY.  But you have no idea how difficult it is to get data on district roads.  On Monday, 30th November 2015, </w:t>
      </w:r>
      <w:proofErr w:type="spellStart"/>
      <w:r>
        <w:t>Niti</w:t>
      </w:r>
      <w:proofErr w:type="spellEnd"/>
      <w:r>
        <w:t xml:space="preserve"> has organized a conference of Chief Secretaries of States, to see how these ideas can be taken </w:t>
      </w:r>
      <w:proofErr w:type="gramStart"/>
      <w:r>
        <w:t>forward.&lt;</w:t>
      </w:r>
      <w:proofErr w:type="gramEnd"/>
      <w:r>
        <w:t>/p&gt;</w:t>
      </w:r>
    </w:p>
    <w:p w14:paraId="3B663FBB" w14:textId="77777777" w:rsidR="00662C17" w:rsidRDefault="00662C17" w:rsidP="00662C17"/>
    <w:p w14:paraId="5CA7B223" w14:textId="77777777" w:rsidR="00662C17" w:rsidRDefault="00662C17" w:rsidP="00662C17">
      <w:r>
        <w:t>&lt;p&gt;</w:t>
      </w:r>
      <w:proofErr w:type="spellStart"/>
      <w:r>
        <w:t>Niti</w:t>
      </w:r>
      <w:proofErr w:type="spellEnd"/>
      <w:r>
        <w:t xml:space="preserve"> is also a think tank, though different people mean different things when they use this expression.  It is not a think tank that dabbles in the abstract and the esoteric.  It is interested in policy and suggesting better policy options, with networking with other such organization, including those that are outside government.  But for this, </w:t>
      </w:r>
      <w:proofErr w:type="spellStart"/>
      <w:r>
        <w:t>Niti</w:t>
      </w:r>
      <w:proofErr w:type="spellEnd"/>
      <w:r>
        <w:t xml:space="preserve"> </w:t>
      </w:r>
      <w:proofErr w:type="gramStart"/>
      <w:r>
        <w:t>has to</w:t>
      </w:r>
      <w:proofErr w:type="gramEnd"/>
      <w:r>
        <w:t xml:space="preserve"> acquire some in-house expertise.  Not many people know that the number of positions in </w:t>
      </w:r>
      <w:proofErr w:type="spellStart"/>
      <w:r>
        <w:t>Niti</w:t>
      </w:r>
      <w:proofErr w:type="spellEnd"/>
      <w:r>
        <w:t xml:space="preserve"> has been slashed from around 1250 in the former Planning Commission to around 600.  These are positions, with vacancies.  </w:t>
      </w:r>
      <w:proofErr w:type="spellStart"/>
      <w:r>
        <w:t>Niti</w:t>
      </w:r>
      <w:proofErr w:type="spellEnd"/>
      <w:r>
        <w:t xml:space="preserve"> doesn’t begin to function only because there is a Vice Chairman and three members.  We are gradually advertising for these positions (they won’t only be filled from within government).  Part of the think tank role is when issues are referred to you by government.  That has started to occur, but will necessarily be in the private domain, not made public.  The remaining part of the think tank role is when </w:t>
      </w:r>
      <w:proofErr w:type="spellStart"/>
      <w:r>
        <w:t>Niti</w:t>
      </w:r>
      <w:proofErr w:type="spellEnd"/>
      <w:r>
        <w:t xml:space="preserve"> picks up issues, </w:t>
      </w:r>
      <w:proofErr w:type="spellStart"/>
      <w:r>
        <w:t>suo</w:t>
      </w:r>
      <w:proofErr w:type="spellEnd"/>
      <w:r>
        <w:t xml:space="preserve"> </w:t>
      </w:r>
      <w:proofErr w:type="spellStart"/>
      <w:r>
        <w:t>motu</w:t>
      </w:r>
      <w:proofErr w:type="spellEnd"/>
      <w:r>
        <w:t xml:space="preserve">, through a series of Working Papers.  That’s going to happen as soon as we have people and in-house expertise.  There are two verticals within </w:t>
      </w:r>
      <w:proofErr w:type="spellStart"/>
      <w:r>
        <w:t>Niti</w:t>
      </w:r>
      <w:proofErr w:type="spellEnd"/>
      <w:r>
        <w:t xml:space="preserve">, so to speak.  One is the link with States, much more active than with the former Planning Commission.  That’s called the Team India initiative.  The other is the think tank role, called the Knowledge Hub </w:t>
      </w:r>
      <w:proofErr w:type="gramStart"/>
      <w:r>
        <w:t>initiative.&lt;</w:t>
      </w:r>
      <w:proofErr w:type="gramEnd"/>
      <w:r>
        <w:t>/p&gt;</w:t>
      </w:r>
    </w:p>
    <w:p w14:paraId="2869D450" w14:textId="77777777" w:rsidR="00662C17" w:rsidRDefault="00662C17" w:rsidP="00662C17"/>
    <w:p w14:paraId="7F02D49B" w14:textId="77777777" w:rsidR="00662C17" w:rsidRDefault="00662C17" w:rsidP="00662C17">
      <w:r>
        <w:t xml:space="preserve">&lt;p&gt;Much of what I have said is already there on our website.  Unfortunately, people often begin to judge an organization without bothering to check information that is already in the public </w:t>
      </w:r>
      <w:proofErr w:type="gramStart"/>
      <w:r>
        <w:t>domain.&lt;</w:t>
      </w:r>
      <w:proofErr w:type="gramEnd"/>
      <w:r>
        <w:t xml:space="preserve">/p&gt; </w:t>
      </w:r>
    </w:p>
    <w:p w14:paraId="2AA32C74" w14:textId="77777777" w:rsidR="00662C17" w:rsidRDefault="00662C17" w:rsidP="00662C17"/>
    <w:p w14:paraId="1DB549D6" w14:textId="77777777" w:rsidR="00662C17" w:rsidRDefault="00662C17" w:rsidP="00662C17">
      <w:r>
        <w:t>&lt;</w:t>
      </w:r>
      <w:proofErr w:type="spellStart"/>
      <w:r>
        <w:t>br</w:t>
      </w:r>
      <w:proofErr w:type="spellEnd"/>
      <w:r>
        <w:t>&gt; #-------------------------# &lt;</w:t>
      </w:r>
      <w:proofErr w:type="spellStart"/>
      <w:r>
        <w:t>br</w:t>
      </w:r>
      <w:proofErr w:type="spellEnd"/>
      <w:r>
        <w:t>&gt;</w:t>
      </w:r>
    </w:p>
    <w:p w14:paraId="50ED3894" w14:textId="71171609" w:rsidR="00662C17" w:rsidRDefault="00662C17" w:rsidP="00662C17">
      <w:bookmarkStart w:id="0" w:name="_GoBack"/>
      <w:bookmarkEnd w:id="0"/>
      <w:r>
        <w:t>&lt;</w:t>
      </w:r>
      <w:proofErr w:type="spellStart"/>
      <w:r>
        <w:t>img</w:t>
      </w:r>
      <w:proofErr w:type="spellEnd"/>
      <w:r>
        <w:t xml:space="preserve"> src="http://blog.mygov.in/wp-content/uploads/2015/11/MyGov-Editorial-big.jpg" alt="MyGov-Editorial-big" width="930" height="213" class="</w:t>
      </w:r>
      <w:proofErr w:type="spellStart"/>
      <w:r>
        <w:t>aligncenter</w:t>
      </w:r>
      <w:proofErr w:type="spellEnd"/>
      <w:r>
        <w:t xml:space="preserve"> size-full wp-image-10205" /&gt;</w:t>
      </w:r>
    </w:p>
    <w:p w14:paraId="37A068D2" w14:textId="77777777" w:rsidR="00662C17" w:rsidRDefault="00662C17" w:rsidP="00662C17">
      <w:r>
        <w:t xml:space="preserve">&lt;p&gt;&lt;strong&gt;My dear fellow </w:t>
      </w:r>
      <w:proofErr w:type="gramStart"/>
      <w:r>
        <w:t>Citizens!&lt;</w:t>
      </w:r>
      <w:proofErr w:type="gramEnd"/>
      <w:r>
        <w:t>/strong&gt;&lt;/p&gt;</w:t>
      </w:r>
    </w:p>
    <w:p w14:paraId="1FE21F13" w14:textId="77777777" w:rsidR="00662C17" w:rsidRDefault="00662C17" w:rsidP="00662C17">
      <w:r>
        <w:t xml:space="preserve">&lt;p&gt;Service, in our Indian ethos is the ultimate duty – </w:t>
      </w:r>
      <w:proofErr w:type="spellStart"/>
      <w:r>
        <w:t>Seva</w:t>
      </w:r>
      <w:proofErr w:type="spellEnd"/>
      <w:r>
        <w:t xml:space="preserve"> </w:t>
      </w:r>
      <w:proofErr w:type="spellStart"/>
      <w:r>
        <w:t>Parmo</w:t>
      </w:r>
      <w:proofErr w:type="spellEnd"/>
      <w:r>
        <w:t xml:space="preserve"> Dharma. One year ago, you had entrusted me with the responsibility and </w:t>
      </w:r>
      <w:proofErr w:type="spellStart"/>
      <w:r>
        <w:t>honour</w:t>
      </w:r>
      <w:proofErr w:type="spellEnd"/>
      <w:r>
        <w:t xml:space="preserve"> of serving you as your Pradhan Sevak. I have devoted every moment of every day, and every element of my body and spirit, in fulfilling the same with fullest sincerity and honesty.</w:t>
      </w:r>
    </w:p>
    <w:p w14:paraId="40CEED20" w14:textId="77777777" w:rsidR="00662C17" w:rsidRDefault="00662C17" w:rsidP="00662C17">
      <w:r>
        <w:t xml:space="preserve">We assumed office at a time when confidence in the India story was waning. Un-abated corruption and indecisiveness had paralyzed the government. People had been left helpless against ever climbing inflation and economic insecurity. Urgent and decisive action was </w:t>
      </w:r>
      <w:proofErr w:type="gramStart"/>
      <w:r>
        <w:t>needed.&lt;</w:t>
      </w:r>
      <w:proofErr w:type="gramEnd"/>
      <w:r>
        <w:t>/p&gt;</w:t>
      </w:r>
    </w:p>
    <w:p w14:paraId="5D6BBA91" w14:textId="77777777" w:rsidR="00662C17" w:rsidRDefault="00662C17" w:rsidP="00662C17">
      <w:r>
        <w:t xml:space="preserve">&lt;p&gt;We systematically went about addressing these challenges. Runaway prices were immediately brought under control. The languishing economy was rejuvenated, building on stable, policy-driven proactive governance. Discretionary allotment of our precious natural resources to a chosen few was </w:t>
      </w:r>
      <w:r>
        <w:lastRenderedPageBreak/>
        <w:t xml:space="preserve">replaced with transparent auctions. Firm steps were taken against Black Money, from setting up a SIT and passing a stringent black money law, to generating international consensus against the </w:t>
      </w:r>
      <w:proofErr w:type="gramStart"/>
      <w:r>
        <w:t>same.&lt;</w:t>
      </w:r>
      <w:proofErr w:type="gramEnd"/>
      <w:r>
        <w:t>/p&gt;</w:t>
      </w:r>
    </w:p>
    <w:sectPr w:rsidR="00662C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C17"/>
    <w:rsid w:val="00662C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0EFAA"/>
  <w15:chartTrackingRefBased/>
  <w15:docId w15:val="{EEB43021-C1C2-414C-BCF9-AA90520F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1004</Words>
  <Characters>5725</Characters>
  <Application>Microsoft Office Word</Application>
  <DocSecurity>0</DocSecurity>
  <Lines>47</Lines>
  <Paragraphs>13</Paragraphs>
  <ScaleCrop>false</ScaleCrop>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Moin Pathan</dc:creator>
  <cp:keywords/>
  <dc:description/>
  <cp:lastModifiedBy>Moin Pathan</cp:lastModifiedBy>
  <cp:revision>1</cp:revision>
  <dcterms:created xsi:type="dcterms:W3CDTF">2019-11-12T14:50:00Z</dcterms:created>
  <dcterms:modified xsi:type="dcterms:W3CDTF">2019-11-12T14:51:00Z</dcterms:modified>
</cp:coreProperties>
</file>